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w:t>
      </w:r>
      <w:r>
        <w:rPr>
          <w:rFonts w:hint="eastAsia" w:ascii="Arial" w:hAnsi="Arial" w:cs="Arial"/>
          <w:b/>
          <w:sz w:val="24"/>
          <w:szCs w:val="24"/>
        </w:rPr>
        <w:t>-e                     R4-21</w:t>
      </w:r>
      <w:r>
        <w:rPr>
          <w:rFonts w:hint="eastAsia" w:ascii="Arial" w:hAnsi="Arial" w:cs="Arial"/>
          <w:b/>
          <w:sz w:val="24"/>
          <w:szCs w:val="24"/>
          <w:lang w:val="en-US" w:eastAsia="zh-CN"/>
        </w:rPr>
        <w:t>09753</w:t>
      </w:r>
      <w:r>
        <w:rPr>
          <w:rFonts w:hint="eastAsia" w:ascii="Arial" w:hAnsi="Arial" w:cs="Arial"/>
          <w:b/>
          <w:sz w:val="24"/>
          <w:szCs w:val="24"/>
        </w:rPr>
        <w:t xml:space="preserve">                         </w:t>
      </w:r>
    </w:p>
    <w:p>
      <w:pPr>
        <w:rPr>
          <w:rFonts w:ascii="Arial" w:hAnsi="Arial" w:cs="Arial"/>
          <w:b/>
          <w:sz w:val="24"/>
          <w:szCs w:val="24"/>
          <w:highlight w:val="yellow"/>
        </w:rPr>
      </w:pPr>
      <w:r>
        <w:rPr>
          <w:rFonts w:hint="eastAsia" w:ascii="Arial" w:hAnsi="Arial" w:cs="Arial"/>
          <w:b/>
          <w:sz w:val="24"/>
          <w:szCs w:val="24"/>
        </w:rPr>
        <w:t>E-meeting,1</w:t>
      </w:r>
      <w:r>
        <w:rPr>
          <w:rFonts w:hint="eastAsia" w:ascii="Arial" w:hAnsi="Arial" w:cs="Arial"/>
          <w:b/>
          <w:sz w:val="24"/>
          <w:szCs w:val="24"/>
          <w:lang w:val="en-US" w:eastAsia="zh-CN"/>
        </w:rPr>
        <w:t>9</w:t>
      </w:r>
      <w:r>
        <w:rPr>
          <w:rFonts w:hint="eastAsia" w:ascii="Arial" w:hAnsi="Arial" w:cs="Arial"/>
          <w:b/>
          <w:sz w:val="24"/>
          <w:szCs w:val="24"/>
          <w:vertAlign w:val="superscript"/>
        </w:rPr>
        <w:t>th</w:t>
      </w:r>
      <w:r>
        <w:rPr>
          <w:rFonts w:hint="eastAsia" w:ascii="Arial" w:hAnsi="Arial" w:cs="Arial"/>
          <w:b/>
          <w:sz w:val="24"/>
          <w:szCs w:val="24"/>
        </w:rPr>
        <w:t xml:space="preserve"> </w:t>
      </w:r>
      <w:r>
        <w:rPr>
          <w:rFonts w:hint="eastAsia" w:ascii="Arial" w:hAnsi="Arial" w:cs="Arial"/>
          <w:b/>
          <w:sz w:val="24"/>
          <w:szCs w:val="24"/>
          <w:lang w:val="en-US" w:eastAsia="zh-CN"/>
        </w:rPr>
        <w:t>May.</w:t>
      </w:r>
      <w:r>
        <w:rPr>
          <w:rFonts w:ascii="Arial" w:hAnsi="Arial" w:cs="Arial"/>
          <w:b/>
          <w:sz w:val="24"/>
          <w:szCs w:val="24"/>
        </w:rPr>
        <w:t xml:space="preserve"> –</w:t>
      </w:r>
      <w:r>
        <w:rPr>
          <w:rFonts w:hint="eastAsia" w:ascii="Arial" w:hAnsi="Arial" w:cs="Arial"/>
          <w:b/>
          <w:sz w:val="24"/>
          <w:szCs w:val="24"/>
        </w:rPr>
        <w:t xml:space="preserve"> 2</w:t>
      </w:r>
      <w:r>
        <w:rPr>
          <w:rFonts w:hint="eastAsia" w:ascii="Arial" w:hAnsi="Arial" w:cs="Arial"/>
          <w:b/>
          <w:sz w:val="24"/>
          <w:szCs w:val="24"/>
          <w:lang w:val="en-US" w:eastAsia="zh-CN"/>
        </w:rPr>
        <w:t>7</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May.</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 xml:space="preserve">21  </w:t>
      </w:r>
    </w:p>
    <w:p>
      <w:pPr>
        <w:rPr>
          <w:rFonts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w:t>
      </w:r>
      <w:r>
        <w:rPr>
          <w:rFonts w:hint="eastAsia" w:ascii="Arial" w:hAnsi="Arial" w:cs="Arial"/>
          <w:b/>
          <w:sz w:val="24"/>
          <w:szCs w:val="24"/>
        </w:rPr>
        <w:t>.</w:t>
      </w:r>
      <w:r>
        <w:rPr>
          <w:rFonts w:hint="eastAsia" w:ascii="Arial" w:hAnsi="Arial" w:cs="Arial"/>
          <w:b/>
          <w:sz w:val="24"/>
          <w:szCs w:val="24"/>
          <w:lang w:val="en-US" w:eastAsia="zh-CN"/>
        </w:rPr>
        <w:t>4</w:t>
      </w:r>
      <w:r>
        <w:rPr>
          <w:rFonts w:hint="eastAsia" w:ascii="Arial" w:hAnsi="Arial" w:cs="Arial"/>
          <w:b/>
          <w:sz w:val="24"/>
          <w:szCs w:val="24"/>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Coexistence study for extended 600 MHz NR frequency 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14"/>
        <w:tabs>
          <w:tab w:val="left" w:pos="567"/>
          <w:tab w:val="clear" w:pos="1985"/>
        </w:tabs>
        <w:adjustRightInd w:val="0"/>
        <w:ind w:left="510" w:hanging="510"/>
      </w:pPr>
      <w:r>
        <w:t>Introduction</w:t>
      </w:r>
    </w:p>
    <w:p>
      <w:pPr>
        <w:spacing w:line="260" w:lineRule="auto"/>
        <w:jc w:val="both"/>
        <w:rPr>
          <w:rFonts w:hint="eastAsia"/>
          <w:sz w:val="20"/>
          <w:lang w:val="en-US" w:eastAsia="zh-CN"/>
        </w:rPr>
      </w:pPr>
      <w:r>
        <w:rPr>
          <w:rFonts w:hint="eastAsia"/>
          <w:sz w:val="20"/>
        </w:rPr>
        <w:t xml:space="preserve">In the </w:t>
      </w:r>
      <w:r>
        <w:rPr>
          <w:sz w:val="20"/>
        </w:rPr>
        <w:t>past</w:t>
      </w:r>
      <w:r>
        <w:rPr>
          <w:rFonts w:hint="eastAsia"/>
          <w:sz w:val="20"/>
        </w:rPr>
        <w:t xml:space="preserve"> RAN4 #98-</w:t>
      </w:r>
      <w:r>
        <w:rPr>
          <w:rFonts w:hint="eastAsia"/>
          <w:sz w:val="20"/>
          <w:lang w:val="en-US" w:eastAsia="zh-CN"/>
        </w:rPr>
        <w:t>bis-</w:t>
      </w:r>
      <w:r>
        <w:rPr>
          <w:rFonts w:hint="eastAsia"/>
          <w:sz w:val="20"/>
        </w:rPr>
        <w:t xml:space="preserve">e meeting, the </w:t>
      </w:r>
      <w:r>
        <w:rPr>
          <w:rFonts w:hint="eastAsia"/>
          <w:sz w:val="20"/>
          <w:lang w:val="en-US" w:eastAsia="zh-CN"/>
        </w:rPr>
        <w:t>coexistence issue of</w:t>
      </w:r>
      <w:r>
        <w:rPr>
          <w:rFonts w:hint="eastAsia"/>
          <w:sz w:val="20"/>
        </w:rPr>
        <w:t xml:space="preserve"> </w:t>
      </w:r>
      <w:r>
        <w:rPr>
          <w:rFonts w:hint="eastAsia"/>
          <w:sz w:val="20"/>
          <w:lang w:val="en-US" w:eastAsia="zh-CN"/>
        </w:rPr>
        <w:t xml:space="preserve">APT </w:t>
      </w:r>
      <w:r>
        <w:rPr>
          <w:rFonts w:hint="eastAsia"/>
          <w:sz w:val="20"/>
        </w:rPr>
        <w:t xml:space="preserve">600MHz band has been </w:t>
      </w:r>
      <w:r>
        <w:rPr>
          <w:rFonts w:hint="eastAsia"/>
          <w:sz w:val="20"/>
          <w:lang w:val="en-US" w:eastAsia="zh-CN"/>
        </w:rPr>
        <w:t>fully discussed.[1] Although the agreements has been reached on coexistence with RAS, how to coexistence with the DTV system still needs to be discussed, the open issues are excerpted as below:</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1"/>
                <w:numId w:val="0"/>
              </w:numPr>
              <w:spacing w:line="260" w:lineRule="auto"/>
              <w:ind w:left="0" w:firstLine="0"/>
              <w:jc w:val="both"/>
              <w:rPr>
                <w:rFonts w:hint="default"/>
                <w:i/>
                <w:iCs/>
                <w:color w:val="00B0F0"/>
                <w:sz w:val="20"/>
                <w:vertAlign w:val="baseline"/>
                <w:lang w:val="en-US" w:eastAsia="zh-CN"/>
              </w:rPr>
            </w:pPr>
            <w:r>
              <w:rPr>
                <w:rFonts w:hint="eastAsia"/>
                <w:i/>
                <w:iCs/>
                <w:color w:val="00B0F0"/>
                <w:sz w:val="20"/>
                <w:vertAlign w:val="baseline"/>
                <w:lang w:val="en-US" w:eastAsia="zh-CN"/>
              </w:rPr>
              <w:t>D</w:t>
            </w:r>
            <w:r>
              <w:rPr>
                <w:rFonts w:hint="default"/>
                <w:i/>
                <w:iCs/>
                <w:color w:val="00B0F0"/>
                <w:sz w:val="20"/>
                <w:vertAlign w:val="baseline"/>
                <w:lang w:val="en-US" w:eastAsia="zh-CN"/>
              </w:rPr>
              <w:t xml:space="preserve">iscuss the frequency separation between the lower edge of an NR band (DL) and DTV considered feasible for coexistence for each frequency arrangement, e.g. </w:t>
            </w:r>
          </w:p>
          <w:p>
            <w:pPr>
              <w:numPr>
                <w:ilvl w:val="0"/>
                <w:numId w:val="2"/>
              </w:numPr>
              <w:spacing w:line="260" w:lineRule="auto"/>
              <w:ind w:left="420" w:hanging="420"/>
              <w:jc w:val="both"/>
              <w:rPr>
                <w:rFonts w:hint="default"/>
                <w:i/>
                <w:iCs/>
                <w:color w:val="00B0F0"/>
                <w:sz w:val="20"/>
                <w:vertAlign w:val="baseline"/>
                <w:lang w:val="en-US" w:eastAsia="zh-CN"/>
              </w:rPr>
            </w:pPr>
            <w:r>
              <w:rPr>
                <w:rFonts w:hint="default"/>
                <w:i/>
                <w:iCs/>
                <w:color w:val="00B0F0"/>
                <w:sz w:val="20"/>
                <w:vertAlign w:val="baseline"/>
                <w:lang w:val="en-US" w:eastAsia="zh-CN"/>
              </w:rPr>
              <w:t xml:space="preserve">consider/reuse the FCC frequency separation (7 MHz) for protection of Broadcast </w:t>
            </w:r>
          </w:p>
          <w:p>
            <w:pPr>
              <w:numPr>
                <w:ilvl w:val="0"/>
                <w:numId w:val="2"/>
              </w:numPr>
              <w:spacing w:line="260" w:lineRule="auto"/>
              <w:ind w:left="420" w:hanging="420"/>
              <w:jc w:val="both"/>
              <w:rPr>
                <w:rFonts w:hint="default"/>
                <w:i/>
                <w:iCs/>
                <w:color w:val="00B0F0"/>
                <w:sz w:val="20"/>
                <w:vertAlign w:val="baseline"/>
                <w:lang w:val="en-US" w:eastAsia="zh-CN"/>
              </w:rPr>
            </w:pPr>
            <w:r>
              <w:rPr>
                <w:rFonts w:hint="default"/>
                <w:i/>
                <w:iCs/>
                <w:color w:val="00B0F0"/>
                <w:sz w:val="20"/>
                <w:vertAlign w:val="baseline"/>
                <w:lang w:val="en-US" w:eastAsia="zh-CN"/>
              </w:rPr>
              <w:t>or if this should be left for Administrations</w:t>
            </w:r>
          </w:p>
          <w:p>
            <w:pPr>
              <w:numPr>
                <w:ilvl w:val="-1"/>
                <w:numId w:val="0"/>
              </w:numPr>
              <w:spacing w:line="260" w:lineRule="auto"/>
              <w:ind w:left="0" w:firstLine="0"/>
              <w:jc w:val="both"/>
              <w:rPr>
                <w:rFonts w:hint="eastAsia"/>
                <w:sz w:val="20"/>
                <w:vertAlign w:val="baseline"/>
                <w:lang w:val="en-US" w:eastAsia="zh-CN"/>
              </w:rPr>
            </w:pPr>
            <w:r>
              <w:rPr>
                <w:rFonts w:hint="eastAsia"/>
                <w:sz w:val="20"/>
                <w:vertAlign w:val="baseline"/>
                <w:lang w:val="en-US" w:eastAsia="zh-CN"/>
              </w:rPr>
              <w:t>And:</w:t>
            </w:r>
          </w:p>
          <w:p>
            <w:pPr>
              <w:numPr>
                <w:ilvl w:val="-1"/>
                <w:numId w:val="0"/>
              </w:numPr>
              <w:spacing w:line="260" w:lineRule="auto"/>
              <w:ind w:left="0" w:firstLine="0"/>
              <w:jc w:val="both"/>
              <w:rPr>
                <w:rFonts w:hint="eastAsia"/>
                <w:i/>
                <w:iCs/>
                <w:color w:val="00B0F0"/>
                <w:sz w:val="20"/>
                <w:vertAlign w:val="baseline"/>
                <w:lang w:val="en-US" w:eastAsia="zh-CN"/>
              </w:rPr>
            </w:pPr>
            <w:r>
              <w:rPr>
                <w:rFonts w:hint="eastAsia"/>
                <w:i/>
                <w:iCs/>
                <w:color w:val="00B0F0"/>
                <w:sz w:val="20"/>
                <w:vertAlign w:val="baseline"/>
                <w:lang w:val="en-US" w:eastAsia="zh-CN"/>
              </w:rPr>
              <w:t>B</w:t>
            </w:r>
            <w:r>
              <w:rPr>
                <w:rFonts w:hint="default"/>
                <w:i/>
                <w:iCs/>
                <w:color w:val="00B0F0"/>
                <w:sz w:val="20"/>
                <w:vertAlign w:val="baseline"/>
                <w:lang w:val="en-US" w:eastAsia="zh-CN"/>
              </w:rPr>
              <w:t>locking requirement(s) for protection from DTV for either B1 or B2</w:t>
            </w:r>
            <w:r>
              <w:rPr>
                <w:rFonts w:hint="eastAsia"/>
                <w:i/>
                <w:iCs/>
                <w:color w:val="00B0F0"/>
                <w:sz w:val="20"/>
                <w:vertAlign w:val="baseline"/>
                <w:lang w:val="en-US" w:eastAsia="zh-CN"/>
              </w:rPr>
              <w:t>:</w:t>
            </w:r>
          </w:p>
          <w:p>
            <w:pPr>
              <w:numPr>
                <w:ilvl w:val="0"/>
                <w:numId w:val="2"/>
              </w:numPr>
              <w:spacing w:line="260" w:lineRule="auto"/>
              <w:ind w:left="420" w:hanging="420"/>
              <w:jc w:val="both"/>
              <w:rPr>
                <w:rFonts w:hint="default"/>
                <w:i/>
                <w:iCs/>
                <w:color w:val="00B0F0"/>
                <w:sz w:val="20"/>
                <w:vertAlign w:val="baseline"/>
                <w:lang w:val="en-US" w:eastAsia="zh-CN"/>
              </w:rPr>
            </w:pPr>
            <w:r>
              <w:rPr>
                <w:rFonts w:hint="default"/>
                <w:i/>
                <w:iCs/>
                <w:color w:val="00B0F0"/>
                <w:sz w:val="20"/>
                <w:vertAlign w:val="baseline"/>
                <w:lang w:val="en-US" w:eastAsia="zh-CN"/>
              </w:rPr>
              <w:t>rejection achievable in the DL at a specific frequency separation between the NR band and DTV for the frequency arrangements</w:t>
            </w:r>
            <w:r>
              <w:rPr>
                <w:rFonts w:hint="eastAsia"/>
                <w:i/>
                <w:iCs/>
                <w:color w:val="00B0F0"/>
                <w:sz w:val="20"/>
                <w:vertAlign w:val="baseline"/>
                <w:lang w:val="en-US" w:eastAsia="zh-CN"/>
              </w:rPr>
              <w:t xml:space="preserve">, i.e. </w:t>
            </w:r>
            <w:r>
              <w:rPr>
                <w:rFonts w:hint="default"/>
                <w:i/>
                <w:iCs/>
                <w:color w:val="00B0F0"/>
                <w:sz w:val="20"/>
                <w:vertAlign w:val="baseline"/>
                <w:lang w:val="en-US" w:eastAsia="zh-CN"/>
              </w:rPr>
              <w:t>without discussing any specific blocking requirement for protection from DTV</w:t>
            </w:r>
          </w:p>
          <w:p>
            <w:pPr>
              <w:numPr>
                <w:ilvl w:val="0"/>
                <w:numId w:val="2"/>
              </w:numPr>
              <w:spacing w:line="260" w:lineRule="auto"/>
              <w:ind w:left="420" w:hanging="420"/>
              <w:jc w:val="both"/>
              <w:rPr>
                <w:rFonts w:hint="default"/>
                <w:i/>
                <w:iCs/>
                <w:color w:val="00B0F0"/>
                <w:sz w:val="20"/>
                <w:vertAlign w:val="baseline"/>
                <w:lang w:val="en-US" w:eastAsia="zh-CN"/>
              </w:rPr>
            </w:pPr>
            <w:r>
              <w:rPr>
                <w:rFonts w:hint="default"/>
                <w:i/>
                <w:iCs/>
                <w:color w:val="00B0F0"/>
                <w:sz w:val="20"/>
                <w:vertAlign w:val="baseline"/>
                <w:lang w:val="en-US" w:eastAsia="zh-CN"/>
              </w:rPr>
              <w:t xml:space="preserve">UE blocking by DTV Channel 36 in the US, may impair the possibility to reuse some 600MHz extended filters options for B71/n71 </w:t>
            </w:r>
          </w:p>
          <w:p>
            <w:pPr>
              <w:numPr>
                <w:ilvl w:val="0"/>
                <w:numId w:val="2"/>
              </w:numPr>
              <w:spacing w:line="260" w:lineRule="auto"/>
              <w:ind w:left="420" w:hanging="420"/>
              <w:jc w:val="both"/>
              <w:rPr>
                <w:rFonts w:hint="default"/>
                <w:sz w:val="20"/>
                <w:vertAlign w:val="baseline"/>
                <w:lang w:val="en-US" w:eastAsia="zh-CN"/>
              </w:rPr>
            </w:pPr>
            <w:r>
              <w:rPr>
                <w:rFonts w:hint="default"/>
                <w:i/>
                <w:iCs/>
                <w:color w:val="00B0F0"/>
                <w:sz w:val="20"/>
                <w:vertAlign w:val="baseline"/>
                <w:lang w:val="en-US" w:eastAsia="zh-CN"/>
              </w:rPr>
              <w:t>need for protection from DTV below 608 MHz</w:t>
            </w:r>
          </w:p>
        </w:tc>
      </w:tr>
    </w:tbl>
    <w:p>
      <w:pPr>
        <w:spacing w:line="260" w:lineRule="auto"/>
        <w:jc w:val="both"/>
        <w:rPr>
          <w:rFonts w:hint="default"/>
          <w:sz w:val="20"/>
          <w:lang w:val="en-US" w:eastAsia="zh-CN"/>
        </w:rPr>
      </w:pPr>
    </w:p>
    <w:p>
      <w:pPr>
        <w:spacing w:line="260" w:lineRule="auto"/>
        <w:jc w:val="both"/>
        <w:rPr>
          <w:rFonts w:hint="eastAsia"/>
          <w:sz w:val="20"/>
        </w:rPr>
      </w:pPr>
      <w:r>
        <w:rPr>
          <w:sz w:val="20"/>
        </w:rPr>
        <w:t>I</w:t>
      </w:r>
      <w:r>
        <w:rPr>
          <w:rFonts w:hint="eastAsia"/>
          <w:sz w:val="20"/>
        </w:rPr>
        <w:t xml:space="preserve">n this contribution we </w:t>
      </w:r>
      <w:r>
        <w:rPr>
          <w:sz w:val="20"/>
        </w:rPr>
        <w:t>would like to provide some further</w:t>
      </w:r>
      <w:r>
        <w:rPr>
          <w:rFonts w:hint="eastAsia"/>
          <w:sz w:val="20"/>
        </w:rPr>
        <w:t xml:space="preserve"> details.</w:t>
      </w:r>
    </w:p>
    <w:p>
      <w:pPr>
        <w:adjustRightInd w:val="0"/>
        <w:spacing w:line="260" w:lineRule="auto"/>
        <w:ind w:left="510" w:hanging="510"/>
        <w:jc w:val="both"/>
      </w:pPr>
    </w:p>
    <w:p>
      <w:pPr>
        <w:pStyle w:val="14"/>
        <w:tabs>
          <w:tab w:val="left" w:pos="567"/>
          <w:tab w:val="clear" w:pos="1985"/>
        </w:tabs>
        <w:adjustRightInd w:val="0"/>
        <w:spacing w:after="120" w:line="260" w:lineRule="auto"/>
        <w:ind w:left="510" w:hanging="510"/>
        <w:jc w:val="left"/>
        <w:rPr>
          <w:rFonts w:hint="default"/>
          <w:lang w:val="en-US" w:eastAsia="zh-CN"/>
        </w:rPr>
      </w:pPr>
      <w:r>
        <w:rPr>
          <w:rFonts w:hint="eastAsia"/>
        </w:rPr>
        <w:t xml:space="preserve">Discussion </w:t>
      </w:r>
    </w:p>
    <w:p>
      <w:pPr>
        <w:spacing w:after="120" w:line="260" w:lineRule="auto"/>
        <w:jc w:val="both"/>
        <w:rPr>
          <w:rFonts w:hint="eastAsia"/>
          <w:sz w:val="20"/>
          <w:lang w:val="en-US" w:eastAsia="zh-CN"/>
        </w:rPr>
      </w:pPr>
      <w:r>
        <w:rPr>
          <w:rFonts w:hint="eastAsia"/>
          <w:sz w:val="20"/>
          <w:lang w:val="en-US" w:eastAsia="zh-CN"/>
        </w:rPr>
        <w:t xml:space="preserve">In fact, the 7 MHz frequency separation determined by FCC is a compromise, this is because when the FCC determines this frequency separation, its prerequisite is that the 600MHz band will be subject to an incentive auction in US. This leads to the inability to acquisition the real spectrum allocation plan in advance before the auction result is determined. Therefore, the FCC adopts a </w:t>
      </w:r>
      <w:r>
        <w:rPr>
          <w:rFonts w:hint="default"/>
          <w:sz w:val="20"/>
          <w:lang w:val="en-US" w:eastAsia="zh-CN"/>
        </w:rPr>
        <w:t>“</w:t>
      </w:r>
      <w:r>
        <w:rPr>
          <w:rFonts w:hint="eastAsia"/>
          <w:sz w:val="20"/>
          <w:lang w:val="en-US" w:eastAsia="zh-CN"/>
        </w:rPr>
        <w:t>technically reasonable</w:t>
      </w:r>
      <w:r>
        <w:rPr>
          <w:rFonts w:hint="default"/>
          <w:sz w:val="20"/>
          <w:lang w:val="en-US" w:eastAsia="zh-CN"/>
        </w:rPr>
        <w:t>”</w:t>
      </w:r>
      <w:r>
        <w:rPr>
          <w:rFonts w:hint="eastAsia"/>
          <w:sz w:val="20"/>
          <w:lang w:val="en-US" w:eastAsia="zh-CN"/>
        </w:rPr>
        <w:t xml:space="preserve"> guard band between the 600 MHz band and DTV band, any allocated guard band between the 600 MHz downlink and television will be 7 MHz to 11 MHz. [2] Actually, a larger guard band will provide additional rejection in the television to downlink case,and this will allow for larger filter transition, which will simplify filter manufacturing. </w:t>
      </w:r>
    </w:p>
    <w:p>
      <w:pPr>
        <w:spacing w:after="120" w:line="260" w:lineRule="auto"/>
        <w:jc w:val="both"/>
        <w:rPr>
          <w:rFonts w:hint="eastAsia"/>
          <w:sz w:val="20"/>
          <w:lang w:val="en-US" w:eastAsia="zh-CN"/>
        </w:rPr>
      </w:pPr>
      <w:r>
        <w:rPr>
          <w:rFonts w:hint="eastAsia"/>
          <w:sz w:val="20"/>
          <w:lang w:val="en-US" w:eastAsia="zh-CN"/>
        </w:rPr>
        <w:t>To determine the amount of frequency separation that is technically reasonable to prevent harmful interference between the 600 MHz band and DTV system, FCC used frequency dependent rejection (“FDR”) methodology. The specific evaluation process and the details of the FCC's determination (This includes a large number of discussions from companies and administrations.) of the frequency separation are beyond the scope of this discussion, but this process is complicated and arduous, and it is very inefficient to reintroduce this process.</w:t>
      </w:r>
    </w:p>
    <w:p>
      <w:pPr>
        <w:spacing w:after="120" w:line="260" w:lineRule="auto"/>
        <w:jc w:val="both"/>
        <w:rPr>
          <w:rFonts w:hint="eastAsia"/>
          <w:sz w:val="20"/>
        </w:rPr>
      </w:pPr>
      <w:r>
        <w:rPr>
          <w:rFonts w:hint="eastAsia"/>
          <w:b/>
          <w:bCs/>
          <w:sz w:val="20"/>
          <w:lang w:val="en-US" w:eastAsia="zh-CN"/>
        </w:rPr>
        <w:t>Proposal</w:t>
      </w:r>
      <w:r>
        <w:rPr>
          <w:rFonts w:hint="eastAsia"/>
          <w:b/>
          <w:bCs/>
          <w:sz w:val="20"/>
        </w:rPr>
        <w:t xml:space="preserve"> </w:t>
      </w:r>
      <w:r>
        <w:rPr>
          <w:rFonts w:hint="eastAsia"/>
          <w:b/>
          <w:bCs/>
          <w:sz w:val="20"/>
          <w:lang w:val="en-US" w:eastAsia="zh-CN"/>
        </w:rPr>
        <w:t>1</w:t>
      </w:r>
      <w:r>
        <w:rPr>
          <w:rFonts w:hint="eastAsia"/>
          <w:b/>
          <w:bCs/>
          <w:sz w:val="20"/>
        </w:rPr>
        <w:t xml:space="preserve">: </w:t>
      </w:r>
      <w:r>
        <w:rPr>
          <w:rFonts w:hint="eastAsia"/>
          <w:b/>
          <w:bCs/>
          <w:sz w:val="20"/>
          <w:lang w:val="en-US" w:eastAsia="zh-CN"/>
        </w:rPr>
        <w:t xml:space="preserve">It is reasonable to </w:t>
      </w:r>
      <w:r>
        <w:rPr>
          <w:rFonts w:hint="eastAsia"/>
          <w:b/>
          <w:bCs/>
          <w:sz w:val="20"/>
        </w:rPr>
        <w:t>reuse the FCC frequency separation (7 MHz) for protection of Broadcast</w:t>
      </w:r>
      <w:r>
        <w:rPr>
          <w:rFonts w:hint="eastAsia"/>
          <w:b/>
          <w:bCs/>
          <w:sz w:val="20"/>
          <w:lang w:val="en-US" w:eastAsia="zh-CN"/>
        </w:rPr>
        <w:t>.</w:t>
      </w:r>
      <w:r>
        <w:rPr>
          <w:rFonts w:hint="eastAsia"/>
          <w:b/>
          <w:bCs/>
          <w:sz w:val="20"/>
        </w:rPr>
        <w:t xml:space="preserve"> </w:t>
      </w:r>
    </w:p>
    <w:p>
      <w:pPr>
        <w:spacing w:after="120" w:line="260" w:lineRule="auto"/>
        <w:jc w:val="both"/>
        <w:rPr>
          <w:rFonts w:hint="eastAsia"/>
          <w:sz w:val="20"/>
        </w:rPr>
      </w:pPr>
      <w:r>
        <w:rPr>
          <w:rFonts w:hint="eastAsia"/>
          <w:sz w:val="20"/>
        </w:rPr>
        <w:t xml:space="preserve">Many countries in Region 3 have not completed the 600 MHz frequency allocation, so it is difficult to conclude that reusing the existing frequency separation </w:t>
      </w:r>
      <w:r>
        <w:rPr>
          <w:rFonts w:hint="eastAsia"/>
          <w:sz w:val="20"/>
          <w:lang w:val="en-US" w:eastAsia="zh-CN"/>
        </w:rPr>
        <w:t>between</w:t>
      </w:r>
      <w:r>
        <w:rPr>
          <w:rFonts w:hint="eastAsia"/>
          <w:sz w:val="20"/>
        </w:rPr>
        <w:t xml:space="preserve"> the NR and the DTV system will cause the UE to be </w:t>
      </w:r>
      <w:r>
        <w:rPr>
          <w:rFonts w:hint="eastAsia"/>
          <w:sz w:val="20"/>
          <w:lang w:val="en-US" w:eastAsia="zh-CN"/>
        </w:rPr>
        <w:t>blocked</w:t>
      </w:r>
      <w:r>
        <w:rPr>
          <w:rFonts w:hint="eastAsia"/>
          <w:sz w:val="20"/>
        </w:rPr>
        <w:t xml:space="preserve"> by DTV, and the existing frequency separation has been proven to be Effective</w:t>
      </w:r>
      <w:r>
        <w:rPr>
          <w:rFonts w:hint="eastAsia"/>
          <w:sz w:val="20"/>
          <w:lang w:val="en-US" w:eastAsia="zh-CN"/>
        </w:rPr>
        <w:t xml:space="preserve"> in US 600 MHz band</w:t>
      </w:r>
      <w:r>
        <w:rPr>
          <w:rFonts w:hint="eastAsia"/>
          <w:sz w:val="20"/>
        </w:rPr>
        <w:t xml:space="preserve">. </w:t>
      </w:r>
    </w:p>
    <w:p>
      <w:pPr>
        <w:spacing w:after="120" w:line="260" w:lineRule="auto"/>
        <w:jc w:val="both"/>
        <w:rPr>
          <w:rFonts w:hint="eastAsia"/>
          <w:sz w:val="20"/>
        </w:rPr>
      </w:pPr>
      <w:r>
        <w:rPr>
          <w:rFonts w:hint="eastAsia"/>
          <w:sz w:val="20"/>
          <w:lang w:val="en-US" w:eastAsia="zh-CN"/>
        </w:rPr>
        <w:t xml:space="preserve">In addition, even though the frequency allocation is determined by the FCC, 3GPP still conducted its own research and reached a conclusion, and developed TR 36.755. In TR 36.755, in the case of 7 MHz frequency separation, there are no additional blocking requirements[3]. </w:t>
      </w:r>
      <w:r>
        <w:rPr>
          <w:rFonts w:hint="eastAsia"/>
          <w:sz w:val="20"/>
        </w:rPr>
        <w:t xml:space="preserve">Therefore, no additional requirements should be discussed before any </w:t>
      </w:r>
      <w:r>
        <w:rPr>
          <w:rFonts w:hint="eastAsia"/>
          <w:sz w:val="20"/>
          <w:lang w:val="en-US" w:eastAsia="zh-CN"/>
        </w:rPr>
        <w:t xml:space="preserve">new </w:t>
      </w:r>
      <w:r>
        <w:rPr>
          <w:rFonts w:hint="eastAsia"/>
          <w:sz w:val="20"/>
        </w:rPr>
        <w:t xml:space="preserve">substantial </w:t>
      </w:r>
      <w:r>
        <w:rPr>
          <w:rFonts w:hint="eastAsia"/>
          <w:sz w:val="20"/>
          <w:lang w:val="en-US" w:eastAsia="zh-CN"/>
        </w:rPr>
        <w:t>evidence</w:t>
      </w:r>
      <w:r>
        <w:rPr>
          <w:rFonts w:hint="eastAsia"/>
          <w:sz w:val="20"/>
        </w:rPr>
        <w:t xml:space="preserve"> is </w:t>
      </w:r>
      <w:r>
        <w:rPr>
          <w:rFonts w:hint="eastAsia"/>
          <w:sz w:val="20"/>
          <w:lang w:val="en-US" w:eastAsia="zh-CN"/>
        </w:rPr>
        <w:t>provided</w:t>
      </w:r>
      <w:r>
        <w:rPr>
          <w:rFonts w:hint="eastAsia"/>
          <w:sz w:val="20"/>
        </w:rPr>
        <w:t>.</w:t>
      </w:r>
    </w:p>
    <w:p>
      <w:pPr>
        <w:spacing w:after="120" w:line="260" w:lineRule="auto"/>
        <w:jc w:val="both"/>
        <w:rPr>
          <w:rFonts w:hint="eastAsia"/>
          <w:b/>
          <w:bCs/>
          <w:sz w:val="20"/>
          <w:lang w:val="en-US" w:eastAsia="zh-CN"/>
        </w:rPr>
      </w:pPr>
      <w:r>
        <w:rPr>
          <w:rFonts w:hint="eastAsia"/>
          <w:b/>
          <w:bCs/>
          <w:sz w:val="20"/>
          <w:lang w:val="en-US" w:eastAsia="zh-CN"/>
        </w:rPr>
        <w:t>Proposal</w:t>
      </w:r>
      <w:r>
        <w:rPr>
          <w:rFonts w:hint="eastAsia"/>
          <w:b/>
          <w:bCs/>
          <w:sz w:val="20"/>
        </w:rPr>
        <w:t xml:space="preserve"> </w:t>
      </w:r>
      <w:r>
        <w:rPr>
          <w:rFonts w:hint="eastAsia"/>
          <w:b/>
          <w:bCs/>
          <w:sz w:val="20"/>
          <w:lang w:val="en-US" w:eastAsia="zh-CN"/>
        </w:rPr>
        <w:t>2</w:t>
      </w:r>
      <w:r>
        <w:rPr>
          <w:rFonts w:hint="eastAsia"/>
          <w:b/>
          <w:bCs/>
          <w:sz w:val="20"/>
        </w:rPr>
        <w:t xml:space="preserve">: </w:t>
      </w:r>
      <w:r>
        <w:rPr>
          <w:rFonts w:hint="eastAsia"/>
          <w:b/>
          <w:bCs/>
          <w:sz w:val="20"/>
          <w:lang w:val="en-US" w:eastAsia="zh-CN"/>
        </w:rPr>
        <w:t>Unless any new substantive evidence is provided, there is no need to define specific blocking requirements for the protection from DTV.</w:t>
      </w:r>
    </w:p>
    <w:p>
      <w:pPr>
        <w:spacing w:after="120" w:line="260" w:lineRule="auto"/>
        <w:jc w:val="both"/>
        <w:rPr>
          <w:rFonts w:hint="default"/>
          <w:b/>
          <w:bCs/>
          <w:sz w:val="20"/>
          <w:lang w:val="en-US" w:eastAsia="zh-CN"/>
        </w:rPr>
      </w:pPr>
    </w:p>
    <w:p>
      <w:pPr>
        <w:spacing w:line="260" w:lineRule="auto"/>
        <w:jc w:val="both"/>
      </w:pPr>
    </w:p>
    <w:p>
      <w:pPr>
        <w:spacing w:line="260" w:lineRule="auto"/>
        <w:jc w:val="both"/>
      </w:pPr>
    </w:p>
    <w:p>
      <w:pPr>
        <w:spacing w:line="260" w:lineRule="auto"/>
        <w:jc w:val="both"/>
      </w:pPr>
    </w:p>
    <w:p>
      <w:pPr>
        <w:spacing w:line="260" w:lineRule="auto"/>
        <w:jc w:val="both"/>
      </w:pPr>
    </w:p>
    <w:p>
      <w:pPr>
        <w:spacing w:line="260" w:lineRule="auto"/>
        <w:jc w:val="both"/>
      </w:pPr>
    </w:p>
    <w:p>
      <w:pPr>
        <w:spacing w:line="260" w:lineRule="auto"/>
        <w:jc w:val="both"/>
      </w:pPr>
    </w:p>
    <w:p>
      <w:pPr>
        <w:pStyle w:val="14"/>
        <w:tabs>
          <w:tab w:val="left" w:pos="567"/>
          <w:tab w:val="clear" w:pos="1985"/>
        </w:tabs>
        <w:adjustRightInd w:val="0"/>
        <w:spacing w:line="260" w:lineRule="auto"/>
        <w:ind w:left="510" w:hanging="510"/>
      </w:pPr>
      <w:r>
        <w:t>Conclusions</w:t>
      </w:r>
    </w:p>
    <w:p>
      <w:pPr>
        <w:pStyle w:val="17"/>
        <w:spacing w:after="120" w:line="260" w:lineRule="auto"/>
        <w:jc w:val="both"/>
        <w:rPr>
          <w:sz w:val="20"/>
          <w:szCs w:val="22"/>
        </w:rPr>
      </w:pPr>
      <w:r>
        <w:rPr>
          <w:rFonts w:hint="eastAsia"/>
          <w:sz w:val="20"/>
          <w:szCs w:val="22"/>
        </w:rPr>
        <w:t>In this contribution, we shared some further details on coexistence between extended 600MHz and DTV system and some observations are made as following:</w:t>
      </w:r>
    </w:p>
    <w:p>
      <w:pPr>
        <w:spacing w:after="120" w:line="260" w:lineRule="auto"/>
        <w:jc w:val="both"/>
        <w:rPr>
          <w:rFonts w:hint="eastAsia"/>
          <w:b/>
          <w:bCs/>
          <w:sz w:val="20"/>
        </w:rPr>
      </w:pPr>
      <w:r>
        <w:rPr>
          <w:rFonts w:hint="eastAsia"/>
          <w:b/>
          <w:bCs/>
          <w:sz w:val="20"/>
          <w:lang w:val="en-US" w:eastAsia="zh-CN"/>
        </w:rPr>
        <w:t>Proposal 1</w:t>
      </w:r>
      <w:r>
        <w:rPr>
          <w:rFonts w:hint="eastAsia"/>
          <w:b/>
          <w:bCs/>
          <w:sz w:val="20"/>
        </w:rPr>
        <w:t xml:space="preserve">: </w:t>
      </w:r>
      <w:r>
        <w:rPr>
          <w:rFonts w:hint="eastAsia"/>
          <w:b/>
          <w:bCs/>
          <w:sz w:val="20"/>
          <w:lang w:val="en-US" w:eastAsia="zh-CN"/>
        </w:rPr>
        <w:t xml:space="preserve">It is reasonable to </w:t>
      </w:r>
      <w:r>
        <w:rPr>
          <w:rFonts w:hint="eastAsia"/>
          <w:b/>
          <w:bCs/>
          <w:sz w:val="20"/>
        </w:rPr>
        <w:t>reuse the FCC frequency separation (7 MHz) for protection of Broadcast</w:t>
      </w:r>
      <w:r>
        <w:rPr>
          <w:rFonts w:hint="eastAsia"/>
          <w:b/>
          <w:bCs/>
          <w:sz w:val="20"/>
          <w:lang w:val="en-US" w:eastAsia="zh-CN"/>
        </w:rPr>
        <w:t>.</w:t>
      </w:r>
      <w:r>
        <w:rPr>
          <w:rFonts w:hint="eastAsia"/>
          <w:b/>
          <w:bCs/>
          <w:sz w:val="20"/>
        </w:rPr>
        <w:t xml:space="preserve"> </w:t>
      </w:r>
    </w:p>
    <w:p>
      <w:pPr>
        <w:spacing w:after="120" w:line="260" w:lineRule="auto"/>
        <w:jc w:val="both"/>
        <w:rPr>
          <w:rFonts w:hint="eastAsia"/>
          <w:b/>
          <w:bCs/>
          <w:sz w:val="20"/>
        </w:rPr>
      </w:pPr>
      <w:r>
        <w:rPr>
          <w:rFonts w:hint="eastAsia"/>
          <w:b/>
          <w:bCs/>
          <w:sz w:val="20"/>
          <w:lang w:val="en-US" w:eastAsia="zh-CN"/>
        </w:rPr>
        <w:t>Proposal</w:t>
      </w:r>
      <w:r>
        <w:rPr>
          <w:rFonts w:hint="eastAsia"/>
          <w:b/>
          <w:bCs/>
          <w:sz w:val="20"/>
        </w:rPr>
        <w:t xml:space="preserve"> </w:t>
      </w:r>
      <w:r>
        <w:rPr>
          <w:rFonts w:hint="eastAsia"/>
          <w:b/>
          <w:bCs/>
          <w:sz w:val="20"/>
          <w:lang w:val="en-US" w:eastAsia="zh-CN"/>
        </w:rPr>
        <w:t>2</w:t>
      </w:r>
      <w:r>
        <w:rPr>
          <w:rFonts w:hint="eastAsia"/>
          <w:b/>
          <w:bCs/>
          <w:sz w:val="20"/>
        </w:rPr>
        <w:t xml:space="preserve">: </w:t>
      </w:r>
      <w:r>
        <w:rPr>
          <w:rFonts w:hint="eastAsia"/>
          <w:b/>
          <w:bCs/>
          <w:sz w:val="20"/>
          <w:lang w:val="en-US" w:eastAsia="zh-CN"/>
        </w:rPr>
        <w:t>Unless any new substantive evidence is provided, there is no need to define specific blocking requirements for the protection from DTV.</w:t>
      </w:r>
    </w:p>
    <w:p>
      <w:pPr>
        <w:pStyle w:val="14"/>
        <w:tabs>
          <w:tab w:val="left" w:pos="567"/>
          <w:tab w:val="clear" w:pos="1985"/>
        </w:tabs>
        <w:adjustRightInd w:val="0"/>
        <w:ind w:left="510" w:hanging="510"/>
      </w:pPr>
      <w:r>
        <w:t>References</w:t>
      </w:r>
    </w:p>
    <w:p>
      <w:pPr>
        <w:numPr>
          <w:ilvl w:val="0"/>
          <w:numId w:val="3"/>
        </w:numPr>
        <w:rPr>
          <w:sz w:val="20"/>
        </w:rPr>
      </w:pPr>
      <w:r>
        <w:rPr>
          <w:rFonts w:hint="eastAsia"/>
          <w:sz w:val="20"/>
          <w:lang w:val="en-US" w:eastAsia="zh-CN"/>
        </w:rPr>
        <w:t xml:space="preserve">R4-2105421, </w:t>
      </w:r>
      <w:r>
        <w:rPr>
          <w:rFonts w:hint="default"/>
          <w:sz w:val="20"/>
          <w:lang w:val="en-US" w:eastAsia="zh-CN"/>
        </w:rPr>
        <w:t>“WF on coexistence with other services”</w:t>
      </w:r>
      <w:r>
        <w:rPr>
          <w:rFonts w:hint="eastAsia"/>
          <w:sz w:val="20"/>
          <w:lang w:val="en-US" w:eastAsia="zh-CN"/>
        </w:rPr>
        <w:t>, Ericsson</w:t>
      </w:r>
    </w:p>
    <w:p>
      <w:pPr>
        <w:numPr>
          <w:ilvl w:val="0"/>
          <w:numId w:val="3"/>
        </w:numPr>
        <w:rPr>
          <w:sz w:val="20"/>
        </w:rPr>
      </w:pPr>
      <w:r>
        <w:rPr>
          <w:rFonts w:hint="eastAsia"/>
          <w:sz w:val="20"/>
          <w:lang w:val="en-US" w:eastAsia="zh-CN"/>
        </w:rPr>
        <w:t>E</w:t>
      </w:r>
      <w:r>
        <w:t>xpanding the Economic and Innovation Opportunities of Spectrum Through Incentive Auctions, GN Docket No. 12-268, Report and Order, FCC 14-50.</w:t>
      </w:r>
    </w:p>
    <w:p>
      <w:pPr>
        <w:numPr>
          <w:ilvl w:val="0"/>
          <w:numId w:val="3"/>
        </w:numPr>
        <w:rPr>
          <w:sz w:val="20"/>
        </w:rPr>
      </w:pPr>
      <w:r>
        <w:rPr>
          <w:rFonts w:hint="eastAsia"/>
          <w:sz w:val="20"/>
          <w:lang w:val="en-US" w:eastAsia="zh-CN"/>
        </w:rPr>
        <w:t>TR 36.755-f00, US 600 MHz Band for LTE</w:t>
      </w:r>
      <w:bookmarkStart w:id="1" w:name="_GoBack"/>
      <w:bookmarkEnd w:id="1"/>
    </w:p>
    <w:p>
      <w:pPr>
        <w:rPr>
          <w:sz w:val="20"/>
        </w:rPr>
      </w:pPr>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TFangsong">
    <w:altName w:val="宋体"/>
    <w:panose1 w:val="00000000000000000000"/>
    <w:charset w:val="86"/>
    <w:family w:val="auto"/>
    <w:pitch w:val="default"/>
    <w:sig w:usb0="00000000" w:usb1="00000000" w:usb2="00000010" w:usb3="00000000" w:csb0="0004009F" w:csb1="00000000"/>
  </w:font>
  <w:font w:name="FangSong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541" w:yAlign="top"/>
      <w:rPr>
        <w:rStyle w:val="10"/>
      </w:rPr>
    </w:pPr>
    <w:r>
      <w:rPr>
        <w:rStyle w:val="10"/>
        <w:rFonts w:hint="eastAsia"/>
      </w:rPr>
      <w:t>第</w:t>
    </w: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r>
      <w:rPr>
        <w:rStyle w:val="10"/>
        <w:rFonts w:hint="eastAsia"/>
      </w:rPr>
      <w:t>页</w:t>
    </w:r>
  </w:p>
  <w:p>
    <w:pPr>
      <w:pStyle w:val="4"/>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FangSong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DB2396"/>
    <w:multiLevelType w:val="singleLevel"/>
    <w:tmpl w:val="8EDB2396"/>
    <w:lvl w:ilvl="0" w:tentative="0">
      <w:start w:val="1"/>
      <w:numFmt w:val="bullet"/>
      <w:lvlText w:val=""/>
      <w:lvlJc w:val="left"/>
      <w:pPr>
        <w:ind w:left="420" w:hanging="420"/>
      </w:pPr>
      <w:rPr>
        <w:rFonts w:hint="default" w:ascii="Wingdings" w:hAnsi="Wingdings"/>
      </w:rPr>
    </w:lvl>
  </w:abstractNum>
  <w:abstractNum w:abstractNumId="1">
    <w:nsid w:val="D2FE40F8"/>
    <w:multiLevelType w:val="singleLevel"/>
    <w:tmpl w:val="D2FE40F8"/>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1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CD3502"/>
    <w:rsid w:val="00092939"/>
    <w:rsid w:val="000D2A03"/>
    <w:rsid w:val="00126145"/>
    <w:rsid w:val="001767E6"/>
    <w:rsid w:val="00190A8D"/>
    <w:rsid w:val="001B21A1"/>
    <w:rsid w:val="002333B7"/>
    <w:rsid w:val="00244D42"/>
    <w:rsid w:val="002956DC"/>
    <w:rsid w:val="002D35FA"/>
    <w:rsid w:val="00312C1A"/>
    <w:rsid w:val="00312DD1"/>
    <w:rsid w:val="0033176D"/>
    <w:rsid w:val="003504B5"/>
    <w:rsid w:val="003A2A06"/>
    <w:rsid w:val="003F58F6"/>
    <w:rsid w:val="00413229"/>
    <w:rsid w:val="00427917"/>
    <w:rsid w:val="0046088D"/>
    <w:rsid w:val="0048006F"/>
    <w:rsid w:val="00481430"/>
    <w:rsid w:val="004B2F66"/>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3806"/>
    <w:rsid w:val="009E748B"/>
    <w:rsid w:val="00A22250"/>
    <w:rsid w:val="00A95088"/>
    <w:rsid w:val="00AC4276"/>
    <w:rsid w:val="00AE7865"/>
    <w:rsid w:val="00B12666"/>
    <w:rsid w:val="00C50168"/>
    <w:rsid w:val="00CE53A5"/>
    <w:rsid w:val="00D85273"/>
    <w:rsid w:val="00DA12AB"/>
    <w:rsid w:val="00E153F6"/>
    <w:rsid w:val="00E26FED"/>
    <w:rsid w:val="00E43842"/>
    <w:rsid w:val="00E943EE"/>
    <w:rsid w:val="00F01A21"/>
    <w:rsid w:val="00F204EA"/>
    <w:rsid w:val="00FF0AAD"/>
    <w:rsid w:val="09940477"/>
    <w:rsid w:val="10163976"/>
    <w:rsid w:val="17DB669D"/>
    <w:rsid w:val="1D774E44"/>
    <w:rsid w:val="1D8852B5"/>
    <w:rsid w:val="22154135"/>
    <w:rsid w:val="2310006F"/>
    <w:rsid w:val="26A8749D"/>
    <w:rsid w:val="27750D9D"/>
    <w:rsid w:val="27CD3502"/>
    <w:rsid w:val="2B611561"/>
    <w:rsid w:val="2C5E2D83"/>
    <w:rsid w:val="2C67013E"/>
    <w:rsid w:val="35D36C38"/>
    <w:rsid w:val="39377575"/>
    <w:rsid w:val="3A9777C3"/>
    <w:rsid w:val="3BF97D08"/>
    <w:rsid w:val="3F0F26EB"/>
    <w:rsid w:val="417D3584"/>
    <w:rsid w:val="4480123B"/>
    <w:rsid w:val="44C70D28"/>
    <w:rsid w:val="46E27C30"/>
    <w:rsid w:val="480C693A"/>
    <w:rsid w:val="4C40486A"/>
    <w:rsid w:val="509C6930"/>
    <w:rsid w:val="50F3141D"/>
    <w:rsid w:val="5363569C"/>
    <w:rsid w:val="54D4680C"/>
    <w:rsid w:val="581C7CB3"/>
    <w:rsid w:val="634D653E"/>
    <w:rsid w:val="634F254F"/>
    <w:rsid w:val="66863EBA"/>
    <w:rsid w:val="68DF1631"/>
    <w:rsid w:val="69797C2C"/>
    <w:rsid w:val="7140505C"/>
    <w:rsid w:val="72854D5C"/>
    <w:rsid w:val="75625A92"/>
    <w:rsid w:val="76CC2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0"/>
    <w:pPr>
      <w:jc w:val="left"/>
    </w:pPr>
  </w:style>
  <w:style w:type="paragraph" w:styleId="3">
    <w:name w:val="Balloon Text"/>
    <w:basedOn w:val="1"/>
    <w:link w:val="13"/>
    <w:unhideWhenUsed/>
    <w:qFormat/>
    <w:uiPriority w:val="99"/>
    <w:rPr>
      <w:sz w:val="18"/>
      <w:szCs w:val="18"/>
    </w:rPr>
  </w:style>
  <w:style w:type="paragraph" w:styleId="4">
    <w:name w:val="footer"/>
    <w:basedOn w:val="1"/>
    <w:semiHidden/>
    <w:qFormat/>
    <w:uiPriority w:val="0"/>
    <w:pPr>
      <w:tabs>
        <w:tab w:val="center" w:pos="4153"/>
        <w:tab w:val="right" w:pos="8306"/>
      </w:tabs>
      <w:snapToGrid w:val="0"/>
      <w:jc w:val="left"/>
    </w:pPr>
    <w:rPr>
      <w:sz w:val="18"/>
      <w:szCs w:val="18"/>
    </w:rPr>
  </w:style>
  <w:style w:type="paragraph" w:styleId="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9"/>
    <w:semiHidden/>
    <w:unhideWhenUsed/>
    <w:qFormat/>
    <w:uiPriority w:val="0"/>
    <w:pPr>
      <w:spacing w:line="240" w:lineRule="auto"/>
      <w:jc w:val="both"/>
    </w:pPr>
    <w:rPr>
      <w:b/>
      <w:bCs/>
      <w:sz w:val="20"/>
      <w:szCs w:val="20"/>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qFormat/>
    <w:uiPriority w:val="0"/>
  </w:style>
  <w:style w:type="character" w:styleId="11">
    <w:name w:val="Hyperlink"/>
    <w:basedOn w:val="9"/>
    <w:qFormat/>
    <w:uiPriority w:val="0"/>
    <w:rPr>
      <w:color w:val="4F4F4F"/>
      <w:u w:val="none"/>
    </w:rPr>
  </w:style>
  <w:style w:type="character" w:styleId="12">
    <w:name w:val="annotation reference"/>
    <w:basedOn w:val="9"/>
    <w:semiHidden/>
    <w:unhideWhenUsed/>
    <w:qFormat/>
    <w:uiPriority w:val="0"/>
    <w:rPr>
      <w:sz w:val="16"/>
      <w:szCs w:val="16"/>
    </w:rPr>
  </w:style>
  <w:style w:type="character" w:customStyle="1" w:styleId="13">
    <w:name w:val="Balloon Text Char"/>
    <w:basedOn w:val="9"/>
    <w:link w:val="3"/>
    <w:semiHidden/>
    <w:qFormat/>
    <w:uiPriority w:val="99"/>
    <w:rPr>
      <w:kern w:val="2"/>
      <w:sz w:val="18"/>
      <w:szCs w:val="18"/>
    </w:rPr>
  </w:style>
  <w:style w:type="paragraph" w:customStyle="1" w:styleId="14">
    <w:name w:val="Char"/>
    <w:basedOn w:val="1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15">
    <w:name w:val="List Paragraph"/>
    <w:basedOn w:val="1"/>
    <w:qFormat/>
    <w:uiPriority w:val="34"/>
    <w:pPr>
      <w:ind w:firstLine="420" w:firstLineChars="200"/>
    </w:p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18">
    <w:name w:val="Comment Text Char"/>
    <w:basedOn w:val="9"/>
    <w:link w:val="2"/>
    <w:semiHidden/>
    <w:qFormat/>
    <w:uiPriority w:val="0"/>
    <w:rPr>
      <w:kern w:val="2"/>
      <w:sz w:val="21"/>
      <w:szCs w:val="22"/>
    </w:rPr>
  </w:style>
  <w:style w:type="character" w:customStyle="1" w:styleId="19">
    <w:name w:val="Comment Subject Char"/>
    <w:basedOn w:val="18"/>
    <w:link w:val="6"/>
    <w:semiHidden/>
    <w:qFormat/>
    <w:uiPriority w:val="0"/>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778</Words>
  <Characters>4437</Characters>
  <Lines>36</Lines>
  <Paragraphs>10</Paragraphs>
  <TotalTime>3</TotalTime>
  <ScaleCrop>false</ScaleCrop>
  <LinksUpToDate>false</LinksUpToDate>
  <CharactersWithSpaces>5205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2021-03-25T07:02:00Z</dcterms:created>
  <dc:creator>Sang 10259358</dc:creator>
  <cp:lastModifiedBy>Sang 10259358</cp:lastModifiedBy>
  <dcterms:modified xsi:type="dcterms:W3CDTF">2021-05-11T08:52:25Z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